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color w:val="40404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color w:val="a6a6a6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32"/>
          <w:szCs w:val="32"/>
          <w:rtl w:val="0"/>
        </w:rPr>
        <w:t xml:space="preserve">CAF y BBVA suman esfuerzos para apoyar la reactivación de América Latina y el Caribe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left"/>
        <w:rPr>
          <w:rFonts w:ascii="Arial Narrow" w:cs="Arial Narrow" w:eastAsia="Arial Narrow" w:hAnsi="Arial Narrow"/>
          <w:color w:val="a6a6a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lineRule="auto"/>
        <w:jc w:val="left"/>
        <w:rPr>
          <w:rFonts w:ascii="Arial Narrow" w:cs="Arial Narrow" w:eastAsia="Arial Narrow" w:hAnsi="Arial Narrow"/>
          <w:i w:val="1"/>
          <w:color w:val="76717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Con un préstamo por USD 200 millones, BBVA se suma a las iniciativas de CAF para apoyar a los países de la región en la lucha contra los efectos económicos y sociales de la pandemia por el COVID-19.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00" w:before="28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767171"/>
          <w:sz w:val="24"/>
          <w:szCs w:val="24"/>
          <w:rtl w:val="0"/>
        </w:rPr>
        <w:t xml:space="preserve">(Ciudad de México, 28 de julio de 2020)-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Con el propósito de apoyar los planes de recuperación económica y social impulsados por las autoridades de la región para enfrentar la pandemia por el COVID-19,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CAF –banco de desarrollo de América Latina- y el BBVA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firmaron un contrato de préstamo por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USD 200 millones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Estos recursos se destinarán a financiar iniciativas que permitan a los países de la región atender la emergencia generada a partir del coronavirus y, asimismo, apoyar medidas contra cíclicas que ayuden a aliviar los efectos económicos en el corto plazo. </w:t>
      </w:r>
    </w:p>
    <w:p w:rsidR="00000000" w:rsidDel="00000000" w:rsidP="00000000" w:rsidRDefault="00000000" w:rsidRPr="00000000" w14:paraId="00000006">
      <w:pPr>
        <w:spacing w:after="0" w:before="28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En palabras del presidente de BBVA,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Carlos Torres Villa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“estamos muy orgullosos de colaborar con CAF en sus esfuerzos para mitigar los efectos del COVID-19 y fomentar la reactivación económica en América Latina. BBVA quiere ser parte de la solución y está financiación es una muestra de nuestro compromiso”.</w:t>
      </w:r>
    </w:p>
    <w:p w:rsidR="00000000" w:rsidDel="00000000" w:rsidP="00000000" w:rsidRDefault="00000000" w:rsidRPr="00000000" w14:paraId="00000007">
      <w:pPr>
        <w:spacing w:after="0" w:before="28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Por su parte el presidente ejecutivo de CAF,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Luis Carranza Ugarte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afirmó: “Seguimos trabajando para traer recursos a tasas y plazos más favorables para mejorar el bienestar de la población, mantener las ganancias sociales logradas en las últimas dos décadas y promover la reactivación económica de la región de la mano de un  aliado como es el BBVA”.</w:t>
      </w:r>
    </w:p>
    <w:p w:rsidR="00000000" w:rsidDel="00000000" w:rsidP="00000000" w:rsidRDefault="00000000" w:rsidRPr="00000000" w14:paraId="00000008">
      <w:pPr>
        <w:spacing w:after="0" w:before="280" w:lineRule="auto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La relación integral entre CAF y BBVA le ha permitido a la multilateral brindar soluciones innovadoras de financiamiento a distintos países de la región a través de un portafolio de instrumentos diversificados que van desde la estructuración de bonos hasta líneas de crédito en moneda local. La multilateral promueve el desarrollo sostenible y la integración regional, mediante una eficiente movilización de recursos para la prestación oportuna de servicios financieros múltiples, de alto valor agregado, a clientes de los sectores públicos y privado de los países accionistas.</w:t>
      </w:r>
    </w:p>
    <w:p w:rsidR="00000000" w:rsidDel="00000000" w:rsidP="00000000" w:rsidRDefault="00000000" w:rsidRPr="00000000" w14:paraId="00000009">
      <w:pPr>
        <w:spacing w:before="280" w:lineRule="auto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6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CAF, Dirección de Comunicación Estratégica, </w:t>
      </w:r>
      <w:hyperlink r:id="rId8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prensa@caf.com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Encuéntrenos en: Facebook: </w:t>
      </w:r>
      <w:hyperlink r:id="rId9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Twitter: @AgendaCAF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-152399</wp:posOffset>
          </wp:positionV>
          <wp:extent cx="1889760" cy="600710"/>
          <wp:effectExtent b="0" l="0" r="0" t="0"/>
          <wp:wrapSquare wrapText="bothSides" distB="0" distT="0" distL="114300" distR="114300"/>
          <wp:docPr descr="Imagen que contiene tabla&#10;&#10;Descripción generada automáticamente" id="2" name="image1.png"/>
          <a:graphic>
            <a:graphicData uri="http://schemas.openxmlformats.org/drawingml/2006/picture">
              <pic:pic>
                <pic:nvPicPr>
                  <pic:cNvPr descr="Imagen que contiene tabla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9760" cy="6007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facebook.com/CAF.America.Latina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af.com/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prensa@caf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